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F6BB8" w:rsidRDefault="00EF6BB8" w:rsidP="00EF6BB8">
      <w:pPr>
        <w:pStyle w:val="BU03berschriftohneNummerierung"/>
      </w:pPr>
      <w:r>
        <w:t>Zusatzmaterial</w:t>
      </w:r>
    </w:p>
    <w:p w:rsidR="00FF7F6A" w:rsidRDefault="00FF7F6A" w:rsidP="00FF7F6A">
      <w:pPr>
        <w:pStyle w:val="BU01Titel"/>
      </w:pPr>
      <w:r w:rsidRPr="00CC69C4">
        <w:t xml:space="preserve">„Zwei </w:t>
      </w:r>
      <w:r>
        <w:t>Phänomene – Tausend Beispiele“</w:t>
      </w:r>
    </w:p>
    <w:p w:rsidR="00FF7F6A" w:rsidRPr="00CC69C4" w:rsidRDefault="00FF7F6A" w:rsidP="00FF7F6A">
      <w:pPr>
        <w:pStyle w:val="BU01Titel-Unterzeile"/>
      </w:pPr>
      <w:r w:rsidRPr="00CC69C4">
        <w:t>Begriffslernen am Beispiel von Mimese und Mimikry</w:t>
      </w:r>
    </w:p>
    <w:p w:rsidR="00FF7F6A" w:rsidRPr="00CC69C4" w:rsidRDefault="00FF7F6A" w:rsidP="00FF7F6A">
      <w:pPr>
        <w:pStyle w:val="BU02Autor"/>
      </w:pPr>
      <w:r w:rsidRPr="00CC69C4">
        <w:t>I. Heil</w:t>
      </w:r>
    </w:p>
    <w:p w:rsidR="000F0B08" w:rsidRPr="00081B53" w:rsidRDefault="000F0B08" w:rsidP="000F0B08">
      <w:pPr>
        <w:pStyle w:val="BU02Autorenanschrift"/>
        <w:spacing w:before="240"/>
        <w:rPr>
          <w:rFonts w:ascii="Arial" w:hAnsi="Arial" w:cs="Arial"/>
          <w:szCs w:val="20"/>
        </w:rPr>
      </w:pPr>
      <w:r w:rsidRPr="00226175">
        <w:t>RWTH Aachen, Institut für Biologie II</w:t>
      </w:r>
      <w:r>
        <w:t xml:space="preserve">, Abteilung Zoologie und Humanbiologie sowie </w:t>
      </w:r>
      <w:r w:rsidRPr="001F1E69">
        <w:t>Didaktik</w:t>
      </w:r>
      <w:r>
        <w:t xml:space="preserve"> der Biologie und Chemie, </w:t>
      </w:r>
      <w:r w:rsidRPr="00652189">
        <w:t xml:space="preserve">Worringerweg 3, 52056 Aachen; </w:t>
      </w:r>
      <w:r w:rsidRPr="00081B53">
        <w:rPr>
          <w:szCs w:val="20"/>
        </w:rPr>
        <w:t xml:space="preserve">E-Mail: </w:t>
      </w:r>
      <w:hyperlink r:id="rId8" w:history="1">
        <w:r w:rsidRPr="00081B53">
          <w:rPr>
            <w:rStyle w:val="Hyperlink"/>
            <w:rFonts w:ascii="Arial" w:hAnsi="Arial" w:cs="Arial"/>
            <w:szCs w:val="20"/>
          </w:rPr>
          <w:t>heil@bio2.rwth-aachen.de</w:t>
        </w:r>
      </w:hyperlink>
      <w:r w:rsidRPr="00081B53">
        <w:rPr>
          <w:rFonts w:ascii="Arial" w:hAnsi="Arial" w:cs="Arial"/>
          <w:szCs w:val="20"/>
        </w:rPr>
        <w:t xml:space="preserve"> </w:t>
      </w:r>
    </w:p>
    <w:p w:rsidR="00BA7789" w:rsidRPr="00BA7789" w:rsidRDefault="00BA7789" w:rsidP="00BA7789">
      <w:pPr>
        <w:pStyle w:val="BU04Flieext"/>
      </w:pPr>
    </w:p>
    <w:p w:rsidR="00BA7789" w:rsidRDefault="00EF6BB8" w:rsidP="00BA7789">
      <w:pPr>
        <w:pStyle w:val="BU06Beschriftung"/>
        <w:spacing w:before="0"/>
      </w:pPr>
      <w:r w:rsidRPr="009577EF">
        <w:rPr>
          <w:noProof/>
          <w:color w:val="auto"/>
          <w:lang w:eastAsia="de-DE"/>
          <w14:textOutline w14:w="0" w14:cap="rnd" w14:cmpd="sng" w14:algn="ctr">
            <w14:noFill/>
            <w14:prstDash w14:val="solid"/>
            <w14:bevel/>
          </w14:textOutline>
          <w14:ligatures w14:val="none"/>
        </w:rPr>
        <w:drawing>
          <wp:anchor distT="0" distB="0" distL="114300" distR="114300" simplePos="0" relativeHeight="251660288" behindDoc="1" locked="0" layoutInCell="1" allowOverlap="1" wp14:anchorId="3A1BD732" wp14:editId="591B613E">
            <wp:simplePos x="0" y="0"/>
            <wp:positionH relativeFrom="column">
              <wp:posOffset>3134995</wp:posOffset>
            </wp:positionH>
            <wp:positionV relativeFrom="paragraph">
              <wp:posOffset>52705</wp:posOffset>
            </wp:positionV>
            <wp:extent cx="2618740" cy="1967230"/>
            <wp:effectExtent l="0" t="0" r="0" b="0"/>
            <wp:wrapThrough wrapText="bothSides">
              <wp:wrapPolygon edited="0">
                <wp:start x="0" y="0"/>
                <wp:lineTo x="0" y="21335"/>
                <wp:lineTo x="21370" y="21335"/>
                <wp:lineTo x="21370" y="0"/>
                <wp:lineTo x="0" y="0"/>
              </wp:wrapPolygon>
            </wp:wrapThrough>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uer Morpho.jpg"/>
                    <pic:cNvPicPr/>
                  </pic:nvPicPr>
                  <pic:blipFill rotWithShape="1">
                    <a:blip r:embed="rId9" cstate="print">
                      <a:extLst>
                        <a:ext uri="{28A0092B-C50C-407E-A947-70E740481C1C}">
                          <a14:useLocalDpi xmlns:a14="http://schemas.microsoft.com/office/drawing/2010/main" val="0"/>
                        </a:ext>
                      </a:extLst>
                    </a:blip>
                    <a:srcRect l="10588" r="13726" b="13928"/>
                    <a:stretch/>
                  </pic:blipFill>
                  <pic:spPr bwMode="auto">
                    <a:xfrm>
                      <a:off x="0" y="0"/>
                      <a:ext cx="2618740" cy="1967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77EF">
        <w:rPr>
          <w:noProof/>
          <w:color w:val="auto"/>
          <w:lang w:eastAsia="de-DE"/>
          <w14:textOutline w14:w="0" w14:cap="rnd" w14:cmpd="sng" w14:algn="ctr">
            <w14:noFill/>
            <w14:prstDash w14:val="solid"/>
            <w14:bevel/>
          </w14:textOutline>
          <w14:ligatures w14:val="none"/>
        </w:rPr>
        <w:drawing>
          <wp:anchor distT="0" distB="0" distL="114300" distR="114300" simplePos="0" relativeHeight="251659264" behindDoc="1" locked="0" layoutInCell="1" allowOverlap="1" wp14:anchorId="0A6E7DB0" wp14:editId="4BD88D92">
            <wp:simplePos x="0" y="0"/>
            <wp:positionH relativeFrom="column">
              <wp:posOffset>0</wp:posOffset>
            </wp:positionH>
            <wp:positionV relativeFrom="paragraph">
              <wp:posOffset>53340</wp:posOffset>
            </wp:positionV>
            <wp:extent cx="3158490" cy="1967230"/>
            <wp:effectExtent l="0" t="0" r="3810" b="0"/>
            <wp:wrapThrough wrapText="bothSides">
              <wp:wrapPolygon edited="0">
                <wp:start x="0" y="0"/>
                <wp:lineTo x="0" y="21335"/>
                <wp:lineTo x="21496" y="21335"/>
                <wp:lineTo x="21496" y="0"/>
                <wp:lineTo x="0" y="0"/>
              </wp:wrapPolygon>
            </wp:wrapThrough>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27.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58490" cy="1967230"/>
                    </a:xfrm>
                    <a:prstGeom prst="rect">
                      <a:avLst/>
                    </a:prstGeom>
                  </pic:spPr>
                </pic:pic>
              </a:graphicData>
            </a:graphic>
            <wp14:sizeRelH relativeFrom="page">
              <wp14:pctWidth>0</wp14:pctWidth>
            </wp14:sizeRelH>
            <wp14:sizeRelV relativeFrom="page">
              <wp14:pctHeight>0</wp14:pctHeight>
            </wp14:sizeRelV>
          </wp:anchor>
        </w:drawing>
      </w:r>
      <w:r w:rsidR="00BA7789" w:rsidRPr="00BA7789">
        <w:t xml:space="preserve"> </w:t>
      </w:r>
      <w:r w:rsidR="00BA7789" w:rsidRPr="00EF6BB8">
        <w:t>Abb. 1: Blauer Morphofalter (Morpho peleides); links: blau schillernde Flügeloberseite mit schwarzem Flügelrand, rechts: bräunlich-schwarz-weiß gemusterte Flügelunterseite mit Flügelflecken. Beide Färbungen könnten in der natürlichen Umgebung des Schmetterlings, d.h. im Schattenspiel des Blattwerks, Unauffälligkeit bewirken – neuere Forschungen legen nahe, dass die Flügelflecken an der Flügelunterseite möglicherweise nicht als auffällige und dadurch abschreckende „Augen“-Flecken zu interpretieren sind, da sie hierfür zu klein und zu zahlreich sind und durchaus zufällig und damit adaptiv-neutral sein können [5, 20]. Fotos: Grotjohann.</w:t>
      </w:r>
    </w:p>
    <w:p w:rsidR="00BA7789" w:rsidRDefault="00BA7789">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pPr>
      <w:r>
        <w:br w:type="page"/>
      </w:r>
    </w:p>
    <w:tbl>
      <w:tblPr>
        <w:tblStyle w:val="TabellemithellemGitternetz1"/>
        <w:tblW w:w="0" w:type="auto"/>
        <w:tblLook w:val="01E0" w:firstRow="1" w:lastRow="1" w:firstColumn="1" w:lastColumn="1" w:noHBand="0" w:noVBand="0"/>
      </w:tblPr>
      <w:tblGrid>
        <w:gridCol w:w="4646"/>
        <w:gridCol w:w="4640"/>
      </w:tblGrid>
      <w:tr w:rsidR="00BA7789" w:rsidRPr="009577EF" w:rsidTr="009867E8">
        <w:tc>
          <w:tcPr>
            <w:tcW w:w="4646" w:type="dxa"/>
          </w:tcPr>
          <w:p w:rsidR="00BA7789" w:rsidRPr="009577EF" w:rsidRDefault="00BA7789" w:rsidP="009867E8">
            <w:pPr>
              <w:pStyle w:val="BU04Tabelle"/>
              <w:jc w:val="center"/>
              <w:rPr>
                <w:b/>
                <w:color w:val="auto"/>
              </w:rPr>
            </w:pPr>
            <w:r w:rsidRPr="009577EF">
              <w:rPr>
                <w:b/>
                <w:color w:val="auto"/>
              </w:rPr>
              <w:lastRenderedPageBreak/>
              <w:t>Mimikry</w:t>
            </w:r>
          </w:p>
        </w:tc>
        <w:tc>
          <w:tcPr>
            <w:tcW w:w="4640" w:type="dxa"/>
          </w:tcPr>
          <w:p w:rsidR="00BA7789" w:rsidRPr="009577EF" w:rsidRDefault="00BA7789" w:rsidP="009867E8">
            <w:pPr>
              <w:pStyle w:val="BU04Tabelle"/>
              <w:jc w:val="center"/>
              <w:rPr>
                <w:b/>
                <w:color w:val="auto"/>
              </w:rPr>
            </w:pPr>
            <w:r w:rsidRPr="009577EF">
              <w:rPr>
                <w:b/>
                <w:color w:val="auto"/>
              </w:rPr>
              <w:t>Mimese</w:t>
            </w:r>
          </w:p>
        </w:tc>
      </w:tr>
      <w:tr w:rsidR="00BA7789" w:rsidRPr="009577EF" w:rsidTr="009867E8">
        <w:tc>
          <w:tcPr>
            <w:tcW w:w="4646" w:type="dxa"/>
          </w:tcPr>
          <w:p w:rsidR="00BA7789" w:rsidRPr="009577EF" w:rsidRDefault="00BA7789" w:rsidP="009867E8">
            <w:pPr>
              <w:pStyle w:val="BU04Tabelle"/>
              <w:rPr>
                <w:color w:val="auto"/>
              </w:rPr>
            </w:pPr>
            <w:r w:rsidRPr="009577EF">
              <w:rPr>
                <w:color w:val="auto"/>
              </w:rPr>
              <w:t>„Mimikry bedeutet Signalfälschung und äußert sich darin, dass der Empfänger durch Nachahmung eines Signals, das für ihn eine ganz bestimmte Bedeutung hat, getäuscht wird. Voraussetzung für die Entstehung und Erhaltung einer Mimikry sind ein Vorbild, das ein Signal sendet, ein Empfänger, der dieses beantwortet, und ein Nachahmer, der das Signal des Vorbilds imitiert und aus der Reaktion des Empfängers einen Nutzen zieht.“ [13]</w:t>
            </w:r>
          </w:p>
        </w:tc>
        <w:tc>
          <w:tcPr>
            <w:tcW w:w="4640" w:type="dxa"/>
          </w:tcPr>
          <w:p w:rsidR="00BA7789" w:rsidRPr="009577EF" w:rsidRDefault="00BA7789" w:rsidP="009867E8">
            <w:pPr>
              <w:pStyle w:val="BU04Tabelle"/>
              <w:rPr>
                <w:color w:val="auto"/>
              </w:rPr>
            </w:pPr>
            <w:r w:rsidRPr="009577EF">
              <w:rPr>
                <w:color w:val="auto"/>
              </w:rPr>
              <w:t xml:space="preserve">„Ein der Mimikry ähnliches Phänomen ist die Mimese, bei der ein Objekt nachgeahmt wird, das für den Signalempfänger </w:t>
            </w:r>
            <w:r w:rsidRPr="009577EF">
              <w:rPr>
                <w:i/>
                <w:color w:val="auto"/>
              </w:rPr>
              <w:t xml:space="preserve">nicht </w:t>
            </w:r>
            <w:r w:rsidRPr="009577EF">
              <w:rPr>
                <w:color w:val="auto"/>
              </w:rPr>
              <w:t>interessant ist. […] Auch die mit Tarnfärbungen oft verbundenen Körperhaltungen sind mimetische Signale. Sie signalisieren z.B. ‚hier ist nur Borke’ oder ‚hier sind nur Blätter’. [13]</w:t>
            </w:r>
          </w:p>
        </w:tc>
      </w:tr>
      <w:tr w:rsidR="00BA7789" w:rsidRPr="009577EF" w:rsidTr="009867E8">
        <w:tc>
          <w:tcPr>
            <w:tcW w:w="4646" w:type="dxa"/>
          </w:tcPr>
          <w:p w:rsidR="00BA7789" w:rsidRPr="009577EF" w:rsidRDefault="00BA7789" w:rsidP="009867E8">
            <w:pPr>
              <w:pStyle w:val="BU04Tabelle"/>
              <w:rPr>
                <w:color w:val="auto"/>
              </w:rPr>
            </w:pPr>
            <w:r w:rsidRPr="009577EF">
              <w:rPr>
                <w:color w:val="auto"/>
              </w:rPr>
              <w:t>„Ein Phänomen, bei dem eine Spezies aus einer oberflächlichen Ähnlichkeit mit einer anderen Art einen Nutzen zieht. Sowohl Räubern als auch Beutearten kann Mimikry beträchtliche Vorteile verschaffen.“ [6]</w:t>
            </w:r>
          </w:p>
        </w:tc>
        <w:tc>
          <w:tcPr>
            <w:tcW w:w="4640" w:type="dxa"/>
          </w:tcPr>
          <w:p w:rsidR="00BA7789" w:rsidRPr="009577EF" w:rsidRDefault="00BA7789" w:rsidP="009867E8">
            <w:pPr>
              <w:pStyle w:val="BU04Tabelle"/>
              <w:rPr>
                <w:color w:val="auto"/>
              </w:rPr>
            </w:pPr>
            <w:r w:rsidRPr="009577EF">
              <w:rPr>
                <w:color w:val="auto"/>
              </w:rPr>
              <w:t>--- (kein Glossareintrag) [6]</w:t>
            </w:r>
          </w:p>
        </w:tc>
      </w:tr>
      <w:tr w:rsidR="00BA7789" w:rsidRPr="009577EF" w:rsidTr="009867E8">
        <w:tc>
          <w:tcPr>
            <w:tcW w:w="4646" w:type="dxa"/>
          </w:tcPr>
          <w:p w:rsidR="00BA7789" w:rsidRPr="009577EF" w:rsidRDefault="00BA7789" w:rsidP="009867E8">
            <w:pPr>
              <w:pStyle w:val="BU04Tabelle"/>
              <w:rPr>
                <w:color w:val="auto"/>
              </w:rPr>
            </w:pPr>
            <w:r w:rsidRPr="009577EF">
              <w:rPr>
                <w:color w:val="auto"/>
              </w:rPr>
              <w:t xml:space="preserve">„Mimikry (Scheinwarntracht) […] bei wenig wehrhaften Tieren Nachahmung einer </w:t>
            </w:r>
            <w:r w:rsidRPr="009577EF">
              <w:rPr>
                <w:color w:val="auto"/>
              </w:rPr>
              <w:sym w:font="Wingdings" w:char="F0E0"/>
            </w:r>
            <w:r w:rsidRPr="009577EF">
              <w:rPr>
                <w:color w:val="auto"/>
              </w:rPr>
              <w:t xml:space="preserve"> Warntracht, also von Warnfarben oder -formen zum Fraßschutz oder zur Tarnung; z.B. Schwebfliegen, die Wespen nachahmen“ [18]</w:t>
            </w:r>
          </w:p>
        </w:tc>
        <w:tc>
          <w:tcPr>
            <w:tcW w:w="4640" w:type="dxa"/>
          </w:tcPr>
          <w:p w:rsidR="00BA7789" w:rsidRPr="009577EF" w:rsidRDefault="00BA7789" w:rsidP="009867E8">
            <w:pPr>
              <w:pStyle w:val="BU04Tabelle"/>
              <w:rPr>
                <w:color w:val="auto"/>
              </w:rPr>
            </w:pPr>
            <w:r w:rsidRPr="009577EF">
              <w:rPr>
                <w:color w:val="auto"/>
              </w:rPr>
              <w:t>„Mimese (Nachahmung) […] ein Tier ahmt Gestalt, Farbe und Haltung eines Teils seines Lebensraums so täuschend nach, dass Fressfeinde es nicht mehr von der Umgebung unterscheiden können; z.B. Stabheuschrecke“ [18]</w:t>
            </w:r>
          </w:p>
        </w:tc>
      </w:tr>
      <w:tr w:rsidR="00BA7789" w:rsidRPr="009577EF" w:rsidTr="009867E8">
        <w:tc>
          <w:tcPr>
            <w:tcW w:w="4646" w:type="dxa"/>
          </w:tcPr>
          <w:p w:rsidR="00BA7789" w:rsidRPr="009577EF" w:rsidRDefault="00BA7789" w:rsidP="009867E8">
            <w:pPr>
              <w:pStyle w:val="BU04Tabelle"/>
              <w:rPr>
                <w:color w:val="auto"/>
              </w:rPr>
            </w:pPr>
            <w:r w:rsidRPr="009577EF">
              <w:rPr>
                <w:color w:val="auto"/>
              </w:rPr>
              <w:t xml:space="preserve">„Mimikry (engl. </w:t>
            </w:r>
            <w:r w:rsidRPr="009577EF">
              <w:rPr>
                <w:i/>
                <w:color w:val="auto"/>
              </w:rPr>
              <w:t>mimicry</w:t>
            </w:r>
            <w:r w:rsidRPr="009577EF">
              <w:rPr>
                <w:color w:val="auto"/>
              </w:rPr>
              <w:t xml:space="preserve"> Nachahmung) Nachahmung eines anderen Tieres zur Täuschung oder Abschreckung u.a. von Fressfeinden; M. ist eine Folge der </w:t>
            </w:r>
            <w:r w:rsidRPr="009577EF">
              <w:rPr>
                <w:i/>
                <w:color w:val="auto"/>
              </w:rPr>
              <w:t>Selektion</w:t>
            </w:r>
            <w:r w:rsidRPr="009577EF">
              <w:rPr>
                <w:color w:val="auto"/>
              </w:rPr>
              <w:t>“ [2]</w:t>
            </w:r>
          </w:p>
        </w:tc>
        <w:tc>
          <w:tcPr>
            <w:tcW w:w="4640" w:type="dxa"/>
          </w:tcPr>
          <w:p w:rsidR="00BA7789" w:rsidRPr="009577EF" w:rsidRDefault="00BA7789" w:rsidP="009867E8">
            <w:pPr>
              <w:pStyle w:val="BU04Tabelle"/>
              <w:rPr>
                <w:color w:val="auto"/>
              </w:rPr>
            </w:pPr>
            <w:r w:rsidRPr="009577EF">
              <w:rPr>
                <w:color w:val="auto"/>
              </w:rPr>
              <w:t xml:space="preserve">„Mimese (gr. </w:t>
            </w:r>
            <w:r w:rsidRPr="009577EF">
              <w:rPr>
                <w:i/>
                <w:color w:val="auto"/>
              </w:rPr>
              <w:t>mimesis</w:t>
            </w:r>
            <w:r w:rsidRPr="009577EF">
              <w:rPr>
                <w:color w:val="auto"/>
              </w:rPr>
              <w:t xml:space="preserve"> Nachahmung) Nachahmung eines Gegenstandes oder eines Lebewesens zur Tarnung; M. ist eine Folge der </w:t>
            </w:r>
            <w:r w:rsidRPr="009577EF">
              <w:rPr>
                <w:i/>
                <w:color w:val="auto"/>
              </w:rPr>
              <w:t>Selektion</w:t>
            </w:r>
            <w:r w:rsidRPr="009577EF">
              <w:rPr>
                <w:color w:val="auto"/>
              </w:rPr>
              <w:t>“ [2]</w:t>
            </w:r>
          </w:p>
        </w:tc>
      </w:tr>
      <w:tr w:rsidR="00BA7789" w:rsidRPr="009577EF" w:rsidTr="009867E8">
        <w:tc>
          <w:tcPr>
            <w:tcW w:w="4646" w:type="dxa"/>
          </w:tcPr>
          <w:p w:rsidR="00BA7789" w:rsidRPr="009577EF" w:rsidRDefault="00BA7789" w:rsidP="009867E8">
            <w:pPr>
              <w:pStyle w:val="BU04Tabelle"/>
              <w:rPr>
                <w:color w:val="auto"/>
              </w:rPr>
            </w:pPr>
            <w:r w:rsidRPr="009577EF">
              <w:rPr>
                <w:color w:val="auto"/>
              </w:rPr>
              <w:t>„täuschende Übereinstimmung (‚Nachahmung’) mit Signalen einer anderen, meist giftigen oder wehrhaften Art“ [22]</w:t>
            </w:r>
          </w:p>
        </w:tc>
        <w:tc>
          <w:tcPr>
            <w:tcW w:w="4640" w:type="dxa"/>
          </w:tcPr>
          <w:p w:rsidR="00BA7789" w:rsidRPr="009577EF" w:rsidRDefault="00BA7789" w:rsidP="009867E8">
            <w:pPr>
              <w:pStyle w:val="BU04Tabelle"/>
              <w:rPr>
                <w:color w:val="auto"/>
              </w:rPr>
            </w:pPr>
            <w:r w:rsidRPr="009577EF">
              <w:rPr>
                <w:color w:val="auto"/>
              </w:rPr>
              <w:t>--- (kein Glossareintrag) [22]</w:t>
            </w:r>
          </w:p>
        </w:tc>
      </w:tr>
    </w:tbl>
    <w:p w:rsidR="00EF6BB8" w:rsidRPr="009577EF" w:rsidRDefault="00BA7789" w:rsidP="00EF6BB8">
      <w:pPr>
        <w:pStyle w:val="BU06Beschriftung"/>
        <w:rPr>
          <w:color w:val="auto"/>
        </w:rPr>
      </w:pPr>
      <w:r w:rsidRPr="009577EF">
        <w:rPr>
          <w:color w:val="auto"/>
        </w:rPr>
        <w:t>Tab. 1: Beispiele für Begriffsbestimmungen von Mimikry und Mimese (Einträge im Glossar von Fach- und Schulbüchern). Der eigene Vorschlag findet sich in Abb. 3</w:t>
      </w:r>
      <w:r>
        <w:rPr>
          <w:color w:val="auto"/>
        </w:rPr>
        <w:t>.</w:t>
      </w:r>
    </w:p>
    <w:p w:rsidR="00BA7789" w:rsidRDefault="00EF6BB8" w:rsidP="00BA7789">
      <w:pPr>
        <w:pStyle w:val="BU06Beschriftung"/>
        <w:spacing w:before="0"/>
      </w:pPr>
      <w:r w:rsidRPr="009577EF">
        <w:rPr>
          <w:noProof/>
          <w:color w:val="auto"/>
          <w:lang w:eastAsia="de-DE"/>
          <w14:textOutline w14:w="0" w14:cap="rnd" w14:cmpd="sng" w14:algn="ctr">
            <w14:noFill/>
            <w14:prstDash w14:val="solid"/>
            <w14:bevel/>
          </w14:textOutline>
          <w14:ligatures w14:val="none"/>
        </w:rPr>
        <w:lastRenderedPageBreak/>
        <w:drawing>
          <wp:inline distT="0" distB="0" distL="0" distR="0" wp14:anchorId="62AB740E" wp14:editId="66902EAD">
            <wp:extent cx="5769428" cy="4043724"/>
            <wp:effectExtent l="0" t="0" r="3175"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ie1.PNG"/>
                    <pic:cNvPicPr/>
                  </pic:nvPicPr>
                  <pic:blipFill rotWithShape="1">
                    <a:blip r:embed="rId11">
                      <a:extLst>
                        <a:ext uri="{28A0092B-C50C-407E-A947-70E740481C1C}">
                          <a14:useLocalDpi xmlns:a14="http://schemas.microsoft.com/office/drawing/2010/main" val="0"/>
                        </a:ext>
                      </a:extLst>
                    </a:blip>
                    <a:srcRect t="6542"/>
                    <a:stretch/>
                  </pic:blipFill>
                  <pic:spPr bwMode="auto">
                    <a:xfrm>
                      <a:off x="0" y="0"/>
                      <a:ext cx="5769428" cy="4043724"/>
                    </a:xfrm>
                    <a:prstGeom prst="rect">
                      <a:avLst/>
                    </a:prstGeom>
                    <a:ln>
                      <a:noFill/>
                    </a:ln>
                    <a:extLst>
                      <a:ext uri="{53640926-AAD7-44D8-BBD7-CCE9431645EC}">
                        <a14:shadowObscured xmlns:a14="http://schemas.microsoft.com/office/drawing/2010/main"/>
                      </a:ext>
                    </a:extLst>
                  </pic:spPr>
                </pic:pic>
              </a:graphicData>
            </a:graphic>
          </wp:inline>
        </w:drawing>
      </w:r>
      <w:r w:rsidR="00BA7789" w:rsidRPr="00EF6BB8">
        <w:t>Abb. 2: Begriff und Begriffsname. Zwischen den Begriffen und ihren Bezeichnungen muss klar unterschieden werden; Begriffe sind keine Vokabeln [vgl. 3]. Von den Begriffen und Begriffsnamen wiederum, die in der Abbildung dargestellt sind, müssen die Referenten unterschieden werden, auf die sich Begriffe und Begriffsnamen beziehen. Die Referenten sind die bezeichneten Teile der Wirklichkeit [10], sie existieren unabhängig vom menschlichen Geist.</w:t>
      </w:r>
    </w:p>
    <w:p w:rsidR="00BA7789" w:rsidRPr="00BA7789" w:rsidRDefault="00BA7789" w:rsidP="00BA7789">
      <w:pPr>
        <w:pStyle w:val="BU04Flieext"/>
      </w:pPr>
    </w:p>
    <w:tbl>
      <w:tblPr>
        <w:tblStyle w:val="TabellemithellemGitternetz1"/>
        <w:tblW w:w="0" w:type="auto"/>
        <w:tblLook w:val="04A0" w:firstRow="1" w:lastRow="0" w:firstColumn="1" w:lastColumn="0" w:noHBand="0" w:noVBand="1"/>
      </w:tblPr>
      <w:tblGrid>
        <w:gridCol w:w="9210"/>
      </w:tblGrid>
      <w:tr w:rsidR="00BA7789" w:rsidRPr="009577EF" w:rsidTr="009867E8">
        <w:tc>
          <w:tcPr>
            <w:tcW w:w="9210" w:type="dxa"/>
          </w:tcPr>
          <w:p w:rsidR="00BA7789" w:rsidRPr="009577EF" w:rsidRDefault="00BA7789" w:rsidP="009867E8">
            <w:pPr>
              <w:pStyle w:val="BU04Tabelle"/>
              <w:rPr>
                <w:color w:val="auto"/>
              </w:rPr>
            </w:pPr>
            <w:r w:rsidRPr="009577EF">
              <w:rPr>
                <w:color w:val="auto"/>
              </w:rPr>
              <w:t xml:space="preserve">1 </w:t>
            </w:r>
            <w:r w:rsidRPr="009577EF">
              <w:rPr>
                <w:b/>
                <w:color w:val="auto"/>
              </w:rPr>
              <w:t>Anstoß</w:t>
            </w:r>
            <w:r w:rsidRPr="009577EF">
              <w:rPr>
                <w:color w:val="auto"/>
              </w:rPr>
              <w:t>: „Feststellung eines auffälligen Kontrasts zwischen zwei Gegenständen als Auslöser“.</w:t>
            </w:r>
          </w:p>
          <w:p w:rsidR="00BA7789" w:rsidRPr="009577EF" w:rsidRDefault="00BA7789" w:rsidP="009867E8">
            <w:pPr>
              <w:pStyle w:val="BU04Tabelle"/>
              <w:rPr>
                <w:color w:val="auto"/>
              </w:rPr>
            </w:pPr>
            <w:r w:rsidRPr="009577EF">
              <w:rPr>
                <w:color w:val="auto"/>
              </w:rPr>
              <w:t xml:space="preserve">2 „Die </w:t>
            </w:r>
            <w:r w:rsidRPr="009577EF">
              <w:rPr>
                <w:b/>
                <w:color w:val="auto"/>
              </w:rPr>
              <w:t>Kriterien</w:t>
            </w:r>
            <w:r w:rsidRPr="009577EF">
              <w:rPr>
                <w:color w:val="auto"/>
              </w:rPr>
              <w:t xml:space="preserve"> des Vergleichs ergeben sich aus den Eigenschaften oder Merkmalen, nach denen verglichen wird […]. Die Vergleichskriterien können bereits zu Beginn vorliegen oder erst im Verlauf des Verfahrens entwickelt bzw. ausgeschärft werden.“</w:t>
            </w:r>
          </w:p>
          <w:p w:rsidR="00BA7789" w:rsidRPr="009577EF" w:rsidRDefault="00BA7789" w:rsidP="009867E8">
            <w:pPr>
              <w:pStyle w:val="BU04Tabelle"/>
              <w:rPr>
                <w:color w:val="auto"/>
              </w:rPr>
            </w:pPr>
            <w:r w:rsidRPr="009577EF">
              <w:rPr>
                <w:color w:val="auto"/>
              </w:rPr>
              <w:t xml:space="preserve">3 „Die </w:t>
            </w:r>
            <w:r w:rsidRPr="009577EF">
              <w:rPr>
                <w:b/>
                <w:color w:val="auto"/>
              </w:rPr>
              <w:t>Objekte</w:t>
            </w:r>
            <w:r w:rsidRPr="009577EF">
              <w:rPr>
                <w:color w:val="auto"/>
              </w:rPr>
              <w:t xml:space="preserve"> sind die konkreten Träger der Merkmale, aus denen die Vergleichskriterien abstrahiert werden. Häufig stellt eines der Objekte den Ausgangspunkt des Vergleichens dar, weil es bereits vorher bekannt ist. Das hinzutretende zweite Objekt gibt dann den Anstoß zum Herausstellen von Unterschieden und Ähnlichkeiten.“</w:t>
            </w:r>
          </w:p>
          <w:p w:rsidR="00BA7789" w:rsidRPr="009577EF" w:rsidRDefault="00BA7789" w:rsidP="009867E8">
            <w:pPr>
              <w:pStyle w:val="BU04Tabelle"/>
              <w:rPr>
                <w:color w:val="auto"/>
              </w:rPr>
            </w:pPr>
            <w:r w:rsidRPr="009577EF">
              <w:rPr>
                <w:color w:val="auto"/>
              </w:rPr>
              <w:t xml:space="preserve">4 </w:t>
            </w:r>
            <w:r w:rsidRPr="009577EF">
              <w:rPr>
                <w:b/>
                <w:color w:val="auto"/>
              </w:rPr>
              <w:t>Ergebnis</w:t>
            </w:r>
            <w:r w:rsidRPr="009577EF">
              <w:rPr>
                <w:color w:val="auto"/>
              </w:rPr>
              <w:t>: Es wird „durch das Herausarbeiten von Kriterien präzisiert“.</w:t>
            </w:r>
          </w:p>
        </w:tc>
      </w:tr>
    </w:tbl>
    <w:p w:rsidR="00BA7789" w:rsidRPr="009577EF" w:rsidRDefault="00BA7789" w:rsidP="00BA7789">
      <w:pPr>
        <w:pStyle w:val="BU06Beschriftung"/>
        <w:rPr>
          <w:color w:val="auto"/>
        </w:rPr>
      </w:pPr>
      <w:r w:rsidRPr="009577EF">
        <w:rPr>
          <w:b/>
          <w:color w:val="auto"/>
        </w:rPr>
        <w:t>Kasten 1: „Elemente des Vergleichens“ gemäß Hammann</w:t>
      </w:r>
      <w:r w:rsidRPr="009577EF">
        <w:rPr>
          <w:color w:val="auto"/>
        </w:rPr>
        <w:t xml:space="preserve"> (zit. nach [9]). Die im Verlaufsplan ausgewiesenen Unterrichtsphasen (s. Tab. 2, Abschnitt 3.2)  können an die hier dargestellten Schritte angelehnt werden. Einstieg: Schritt 1 und 2, Erarbeitungsphase: Schritt 2 und 3, Sicherungsphase: Schritt 4. Von fließenden Übergängen ist auszugehen, sie ergeben sich je nach konkreter Unterrichtssituation, z.B. Schüleräußerungen oder Grad der Steuerung.</w:t>
      </w:r>
    </w:p>
    <w:p w:rsidR="00EF6BB8" w:rsidRPr="009577EF" w:rsidRDefault="00EF6BB8" w:rsidP="00EF6BB8">
      <w:pPr>
        <w:pStyle w:val="BU06Beschriftung"/>
        <w:jc w:val="both"/>
        <w:rPr>
          <w:color w:val="auto"/>
        </w:rPr>
      </w:pPr>
    </w:p>
    <w:p w:rsidR="00BA7789" w:rsidRPr="00EF6BB8" w:rsidRDefault="00EF6BB8" w:rsidP="00BA7789">
      <w:pPr>
        <w:pStyle w:val="BU06Beschriftung"/>
        <w:spacing w:before="0"/>
      </w:pPr>
      <w:r w:rsidRPr="009577EF">
        <w:rPr>
          <w:noProof/>
          <w:color w:val="auto"/>
          <w:lang w:eastAsia="de-DE"/>
          <w14:textOutline w14:w="0" w14:cap="rnd" w14:cmpd="sng" w14:algn="ctr">
            <w14:noFill/>
            <w14:prstDash w14:val="solid"/>
            <w14:bevel/>
          </w14:textOutline>
          <w14:ligatures w14:val="none"/>
        </w:rPr>
        <w:lastRenderedPageBreak/>
        <w:drawing>
          <wp:inline distT="0" distB="0" distL="0" distR="0" wp14:anchorId="0A4E13C3" wp14:editId="7058C65A">
            <wp:extent cx="5750884" cy="3859399"/>
            <wp:effectExtent l="0" t="0" r="254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 4 korr.png"/>
                    <pic:cNvPicPr/>
                  </pic:nvPicPr>
                  <pic:blipFill rotWithShape="1">
                    <a:blip r:embed="rId12">
                      <a:extLst>
                        <a:ext uri="{28A0092B-C50C-407E-A947-70E740481C1C}">
                          <a14:useLocalDpi xmlns:a14="http://schemas.microsoft.com/office/drawing/2010/main" val="0"/>
                        </a:ext>
                      </a:extLst>
                    </a:blip>
                    <a:srcRect t="11976" b="-1463"/>
                    <a:stretch/>
                  </pic:blipFill>
                  <pic:spPr bwMode="auto">
                    <a:xfrm>
                      <a:off x="0" y="0"/>
                      <a:ext cx="5750884" cy="3859399"/>
                    </a:xfrm>
                    <a:prstGeom prst="rect">
                      <a:avLst/>
                    </a:prstGeom>
                    <a:ln>
                      <a:noFill/>
                    </a:ln>
                    <a:extLst>
                      <a:ext uri="{53640926-AAD7-44D8-BBD7-CCE9431645EC}">
                        <a14:shadowObscured xmlns:a14="http://schemas.microsoft.com/office/drawing/2010/main"/>
                      </a:ext>
                    </a:extLst>
                  </pic:spPr>
                </pic:pic>
              </a:graphicData>
            </a:graphic>
          </wp:inline>
        </w:drawing>
      </w:r>
      <w:r w:rsidR="00BA7789" w:rsidRPr="00BA7789">
        <w:t xml:space="preserve"> </w:t>
      </w:r>
      <w:r w:rsidR="00BA7789" w:rsidRPr="00EF6BB8">
        <w:t>Abb. 3: Begriffsbestimmungen von Mimese und Mimikry. (Die Aussagen sind jeweils oben beginnend und von außen nach innen zu lesen.)</w:t>
      </w:r>
    </w:p>
    <w:p w:rsidR="00940190" w:rsidRDefault="00940190" w:rsidP="00940190">
      <w:pPr>
        <w:pStyle w:val="BU03berschriftohneNummerierung"/>
      </w:pPr>
      <w:r>
        <w:t>Literatur</w:t>
      </w:r>
    </w:p>
    <w:p w:rsidR="00940190" w:rsidRDefault="00940190" w:rsidP="00940190">
      <w:pPr>
        <w:pStyle w:val="BU07Literatur"/>
        <w:jc w:val="left"/>
      </w:pPr>
      <w:r>
        <w:rPr>
          <w:color w:val="auto"/>
        </w:rPr>
        <w:t xml:space="preserve">[1] Barthlott, W. (1995): Mimikry. Nachahmung und Täuschung im Pflanzenreich. Biologie in unserer Zeit 2(25):74-82; online: </w:t>
      </w:r>
      <w:hyperlink r:id="rId13" w:history="1">
        <w:r>
          <w:rPr>
            <w:rStyle w:val="Hyperlink"/>
          </w:rPr>
          <w:t>https://onlinelibrary.wiley.com/doi/epdf/10.1002/biuz.19950250203</w:t>
        </w:r>
      </w:hyperlink>
      <w:r>
        <w:t xml:space="preserve"> (28.03.2019).</w:t>
      </w:r>
    </w:p>
    <w:p w:rsidR="00940190" w:rsidRDefault="00940190" w:rsidP="00940190">
      <w:pPr>
        <w:pStyle w:val="BU07Literatur"/>
        <w:jc w:val="left"/>
      </w:pPr>
      <w:r>
        <w:t>[2] Bayrhuber, H., Hauber, W., Kull, U. (Hg.) (2010): Linder Biologie (Gesamtband). Lehrbuch für die Oberstufe. Braunschweig: Schroedel.</w:t>
      </w:r>
    </w:p>
    <w:p w:rsidR="00940190" w:rsidRDefault="00940190" w:rsidP="00940190">
      <w:pPr>
        <w:pStyle w:val="BU07Literatur"/>
        <w:jc w:val="left"/>
      </w:pPr>
      <w:r>
        <w:t>[3]</w:t>
      </w:r>
      <w:r>
        <w:tab/>
        <w:t>Berck, K.-H. (2001): Biologiedidaktik. Grundlagen und Methoden. Wiebelsheim: Quelle &amp; Meyer.</w:t>
      </w:r>
    </w:p>
    <w:p w:rsidR="00940190" w:rsidRDefault="00940190" w:rsidP="00940190">
      <w:pPr>
        <w:pStyle w:val="BU07Literatur"/>
        <w:jc w:val="left"/>
      </w:pPr>
      <w:r>
        <w:t>[4]</w:t>
      </w:r>
      <w:r>
        <w:tab/>
        <w:t>Berck, K.-H. &amp; Graf, D. (2003): Biologiedidaktik von A bis Z. Wörterbuch mit 1000 Begriffen. Wiebelsheim: Quelle &amp; Meyer.</w:t>
      </w:r>
    </w:p>
    <w:p w:rsidR="00940190" w:rsidRDefault="00940190" w:rsidP="00940190">
      <w:pPr>
        <w:pStyle w:val="BU07Literatur"/>
        <w:jc w:val="left"/>
        <w:rPr>
          <w:color w:val="auto"/>
        </w:rPr>
      </w:pPr>
      <w:r>
        <w:rPr>
          <w:color w:val="auto"/>
        </w:rPr>
        <w:t>[5]</w:t>
      </w:r>
      <w:r>
        <w:rPr>
          <w:color w:val="auto"/>
        </w:rPr>
        <w:tab/>
        <w:t>Bochter, R. (2016). Auge um Auge? „Augen“-Flecken und Abschreckverhalten von Schmetterlingen im Unterricht. Praxis der Naturwissenschaften – Biologie in der Schule 1/65:9-20.</w:t>
      </w:r>
    </w:p>
    <w:p w:rsidR="00940190" w:rsidRDefault="00940190" w:rsidP="00940190">
      <w:pPr>
        <w:pStyle w:val="BU07Literatur"/>
        <w:jc w:val="left"/>
      </w:pPr>
      <w:r>
        <w:t>[6] Campbell, N.A. &amp; Reece, J.B. (2003): Biologie. Heidelberg/Berlin: Spektrum Akademischer Verlag.</w:t>
      </w:r>
    </w:p>
    <w:p w:rsidR="00940190" w:rsidRDefault="00940190" w:rsidP="00940190">
      <w:pPr>
        <w:pStyle w:val="BU07Literatur"/>
        <w:jc w:val="left"/>
        <w:rPr>
          <w:color w:val="auto"/>
        </w:rPr>
      </w:pPr>
      <w:r>
        <w:rPr>
          <w:color w:val="auto"/>
        </w:rPr>
        <w:lastRenderedPageBreak/>
        <w:t>[7] Dittmer, A. &amp; Saß, B. (2018): Sprache bildet! Sprachsensibel Biologie unterrichten. Unterricht Biologie 437: 2-9.</w:t>
      </w:r>
    </w:p>
    <w:p w:rsidR="00940190" w:rsidRDefault="00940190" w:rsidP="00940190">
      <w:pPr>
        <w:pStyle w:val="BU07Literatur"/>
        <w:jc w:val="left"/>
        <w:rPr>
          <w:lang w:val="en-US"/>
        </w:rPr>
      </w:pPr>
      <w:r>
        <w:rPr>
          <w:color w:val="auto"/>
          <w:lang w:val="en-US"/>
        </w:rPr>
        <w:t>[8] Encyclopedia of Life; online</w:t>
      </w:r>
      <w:r>
        <w:rPr>
          <w:lang w:val="en-US"/>
        </w:rPr>
        <w:t xml:space="preserve">: </w:t>
      </w:r>
      <w:hyperlink r:id="rId14" w:history="1">
        <w:r>
          <w:rPr>
            <w:rStyle w:val="Hyperlink"/>
            <w:lang w:val="en-US"/>
          </w:rPr>
          <w:t>https://eol.org/</w:t>
        </w:r>
      </w:hyperlink>
      <w:r>
        <w:rPr>
          <w:lang w:val="en-US"/>
        </w:rPr>
        <w:t xml:space="preserve"> bzw. </w:t>
      </w:r>
      <w:hyperlink r:id="rId15" w:history="1">
        <w:r>
          <w:rPr>
            <w:rStyle w:val="Hyperlink"/>
            <w:lang w:val="en-US"/>
          </w:rPr>
          <w:t>https://eol.org/pages/45515820/names</w:t>
        </w:r>
      </w:hyperlink>
      <w:r>
        <w:rPr>
          <w:lang w:val="en-US"/>
        </w:rPr>
        <w:t xml:space="preserve"> (20.02.2019).</w:t>
      </w:r>
    </w:p>
    <w:p w:rsidR="00940190" w:rsidRDefault="00940190" w:rsidP="00940190">
      <w:pPr>
        <w:pStyle w:val="BU07Literatur"/>
        <w:jc w:val="left"/>
      </w:pPr>
      <w:r>
        <w:t>[9]</w:t>
      </w:r>
      <w:r>
        <w:tab/>
        <w:t>Gropengießer, H., Harms, U., Kattmann, U. (Hg.) (2013): Fachdidaktik Biologie. Köln: Aulis.</w:t>
      </w:r>
    </w:p>
    <w:p w:rsidR="00940190" w:rsidRDefault="00940190" w:rsidP="00940190">
      <w:pPr>
        <w:pStyle w:val="BU07Literatur"/>
        <w:jc w:val="left"/>
      </w:pPr>
      <w:r>
        <w:t>[10] Gropengießer, H., Kattmann, U., Krüger, D. (2010): Biologiedidaktik in Übersichten. Köln. Aulis.</w:t>
      </w:r>
    </w:p>
    <w:p w:rsidR="00940190" w:rsidRDefault="00940190" w:rsidP="00940190">
      <w:pPr>
        <w:pStyle w:val="BU07Literatur"/>
        <w:jc w:val="left"/>
        <w:rPr>
          <w:color w:val="auto"/>
        </w:rPr>
      </w:pPr>
      <w:r>
        <w:rPr>
          <w:color w:val="auto"/>
        </w:rPr>
        <w:t>[11] Huber, G.L. (1970): Begriffsbildung im Unterricht. Empirische Untersuchung über Denkprozesse bei Schülern. München: Ehrenwirth.</w:t>
      </w:r>
    </w:p>
    <w:p w:rsidR="00940190" w:rsidRDefault="00940190" w:rsidP="00940190">
      <w:pPr>
        <w:pStyle w:val="BU07Literatur"/>
        <w:jc w:val="left"/>
      </w:pPr>
      <w:r>
        <w:t xml:space="preserve">[12] Leisen, J. (2019): Steuerung von Lernprozessen mit Materialien und Methoden; online: </w:t>
      </w:r>
      <w:hyperlink r:id="rId16" w:history="1">
        <w:r>
          <w:rPr>
            <w:rStyle w:val="Hyperlink"/>
          </w:rPr>
          <w:t>http://www.lehr-lern-modell.de/materialien</w:t>
        </w:r>
      </w:hyperlink>
      <w:r>
        <w:t xml:space="preserve"> (18.02.2019).</w:t>
      </w:r>
    </w:p>
    <w:p w:rsidR="00940190" w:rsidRDefault="00940190" w:rsidP="00940190">
      <w:pPr>
        <w:pStyle w:val="BU07Literatur"/>
        <w:jc w:val="left"/>
      </w:pPr>
      <w:r>
        <w:t>[13] Lexikon der Biologie in fünfzehn Bänden (2002): Heidelberg: Spektrum Akademischer Verlag.</w:t>
      </w:r>
    </w:p>
    <w:p w:rsidR="00940190" w:rsidRDefault="00940190" w:rsidP="00940190">
      <w:pPr>
        <w:pStyle w:val="BU07Literatur"/>
        <w:jc w:val="left"/>
        <w:rPr>
          <w:color w:val="FF0000"/>
        </w:rPr>
      </w:pPr>
      <w:r>
        <w:rPr>
          <w:color w:val="auto"/>
        </w:rPr>
        <w:t xml:space="preserve">[14] Lexikon der Biologie (1999): Heidelberg: Spektrum Akademischer Verlag; online: </w:t>
      </w:r>
      <w:hyperlink r:id="rId17" w:history="1">
        <w:r>
          <w:rPr>
            <w:rStyle w:val="Hyperlink"/>
          </w:rPr>
          <w:t>https://www.spektrum.de/lexikon/biologie/</w:t>
        </w:r>
      </w:hyperlink>
      <w:r>
        <w:rPr>
          <w:color w:val="FF0000"/>
        </w:rPr>
        <w:t xml:space="preserve"> </w:t>
      </w:r>
      <w:r>
        <w:rPr>
          <w:color w:val="auto"/>
        </w:rPr>
        <w:t>(20.02.2019).</w:t>
      </w:r>
    </w:p>
    <w:p w:rsidR="00940190" w:rsidRDefault="00940190" w:rsidP="00940190">
      <w:pPr>
        <w:pStyle w:val="BU07Literatur"/>
        <w:jc w:val="left"/>
        <w:rPr>
          <w:lang w:val="en-US"/>
        </w:rPr>
      </w:pPr>
      <w:r>
        <w:rPr>
          <w:color w:val="auto"/>
          <w:lang w:val="en-US"/>
        </w:rPr>
        <w:t xml:space="preserve">[15] List of English words of Persian origin; online: </w:t>
      </w:r>
      <w:hyperlink r:id="rId18" w:history="1">
        <w:r>
          <w:rPr>
            <w:rStyle w:val="Hyperlink"/>
            <w:lang w:val="en-US"/>
          </w:rPr>
          <w:t>https://en.wikipedia.org/wiki/List_of_English_words_of_Persian_origin</w:t>
        </w:r>
      </w:hyperlink>
      <w:r>
        <w:rPr>
          <w:lang w:val="en-US"/>
        </w:rPr>
        <w:t xml:space="preserve"> (27.03.2019).</w:t>
      </w:r>
    </w:p>
    <w:p w:rsidR="00940190" w:rsidRDefault="00940190" w:rsidP="00940190">
      <w:pPr>
        <w:pStyle w:val="BU07Literatur"/>
        <w:jc w:val="left"/>
      </w:pPr>
      <w:r>
        <w:t>[16] Lunau, K. (2002): Warnen, Tarnen, Täuschen. Mimikry und andere Überlebensstrategien in der Natur. Darmstadt: Wissenschaftliche Buchgesellschaft.</w:t>
      </w:r>
    </w:p>
    <w:p w:rsidR="00940190" w:rsidRDefault="00940190" w:rsidP="00940190">
      <w:pPr>
        <w:pStyle w:val="BU07Literatur"/>
        <w:jc w:val="left"/>
      </w:pPr>
      <w:r>
        <w:t>[17] Lunau, K. (2016): Mimikry und andere Phänomene der Täuschung. Praxis der Naturwissenschaften – Biologie in der Schule 1/65:4-9.</w:t>
      </w:r>
    </w:p>
    <w:p w:rsidR="00940190" w:rsidRDefault="00940190" w:rsidP="00940190">
      <w:pPr>
        <w:pStyle w:val="BU07Literatur"/>
        <w:jc w:val="left"/>
      </w:pPr>
      <w:r>
        <w:t>[18] Markl, J. (Hg.) (2010): Markl Biologie Oberstufe. Stuttgart/Leipzig: Ernst Klett.</w:t>
      </w:r>
    </w:p>
    <w:p w:rsidR="00940190" w:rsidRDefault="00940190" w:rsidP="00940190">
      <w:pPr>
        <w:pStyle w:val="BU07Literatur"/>
        <w:jc w:val="left"/>
      </w:pPr>
      <w:r>
        <w:rPr>
          <w:color w:val="auto"/>
        </w:rPr>
        <w:t>[19] Nicolai, J. (1993</w:t>
      </w:r>
      <w:r>
        <w:t>): Greifvögel und Eulen. Bestimmen – Kennenlernen – Schützen. München: Gräfe und Unzer.</w:t>
      </w:r>
    </w:p>
    <w:p w:rsidR="00940190" w:rsidRDefault="00940190" w:rsidP="00940190">
      <w:pPr>
        <w:pStyle w:val="BU07Literatur"/>
        <w:jc w:val="left"/>
        <w:rPr>
          <w:color w:val="auto"/>
          <w:lang w:val="en-US"/>
        </w:rPr>
      </w:pPr>
      <w:r>
        <w:rPr>
          <w:color w:val="auto"/>
          <w:lang w:val="en-US"/>
        </w:rPr>
        <w:t xml:space="preserve">[20] Stevens, M. &amp; Ruxton, G.D. (2014). Do animal eyespots really mimic eyes? Current Zoology 60(19):26-36; online: </w:t>
      </w:r>
      <w:hyperlink r:id="rId19" w:history="1">
        <w:r>
          <w:rPr>
            <w:rStyle w:val="Hyperlink"/>
            <w:lang w:val="en-US"/>
          </w:rPr>
          <w:t>https://www.researchgate.net/publication/261062216_Do_animal_eyespots_really_mimic_eyes</w:t>
        </w:r>
      </w:hyperlink>
      <w:r>
        <w:rPr>
          <w:color w:val="FF0000"/>
          <w:lang w:val="en-US"/>
        </w:rPr>
        <w:t xml:space="preserve"> </w:t>
      </w:r>
      <w:r>
        <w:rPr>
          <w:color w:val="auto"/>
          <w:lang w:val="en-US"/>
        </w:rPr>
        <w:t>(28.03.2019).</w:t>
      </w:r>
    </w:p>
    <w:p w:rsidR="00940190" w:rsidRDefault="00940190" w:rsidP="00940190">
      <w:pPr>
        <w:pStyle w:val="BU07Literatur"/>
        <w:jc w:val="left"/>
      </w:pPr>
      <w:r>
        <w:t>[21] Wagner, P. (2006): Wunderliche Strategien der Natur. Mimikry, Mimese und Optimierung. Praxis der Naturwissenschaften – Biologie in der Schule 8/55:1-6.</w:t>
      </w:r>
    </w:p>
    <w:p w:rsidR="00940190" w:rsidRDefault="00940190" w:rsidP="00940190">
      <w:pPr>
        <w:pStyle w:val="BU07Literatur"/>
        <w:jc w:val="left"/>
      </w:pPr>
      <w:r>
        <w:t>[22] Weber, U. (Hg.) (2015): Biologie Oberstufe (Gesamtband). Berlin: Cornelsen.</w:t>
      </w:r>
    </w:p>
    <w:p w:rsidR="001A4EF2" w:rsidRPr="00EF6BB8" w:rsidRDefault="00940190" w:rsidP="0094019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pPr>
      <w:r>
        <w:t xml:space="preserve">[23] Wickler, W. (2006): Warum gibt es Nachahmung in der Natur? Denkübungen in Sachen Mimikry. Biologie in unserer Zeit 4(36):216-223; online: </w:t>
      </w:r>
      <w:hyperlink r:id="rId20" w:history="1">
        <w:r>
          <w:rPr>
            <w:rStyle w:val="Hyperlink"/>
          </w:rPr>
          <w:t>https://onlinelibrary.wiley.com/doi/epdf/10.1002/biuz.200610403</w:t>
        </w:r>
      </w:hyperlink>
      <w:r>
        <w:t xml:space="preserve"> (28.03.2019).</w:t>
      </w:r>
    </w:p>
    <w:sectPr w:rsidR="001A4EF2" w:rsidRPr="00EF6BB8" w:rsidSect="00715B6A">
      <w:headerReference w:type="even" r:id="rId21"/>
      <w:headerReference w:type="default" r:id="rId22"/>
      <w:footerReference w:type="even" r:id="rId23"/>
      <w:footerReference w:type="default" r:id="rId24"/>
      <w:headerReference w:type="first" r:id="rId25"/>
      <w:footerReference w:type="first" r:id="rId26"/>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D5B36" w:rsidRDefault="001D5B36" w:rsidP="00F32432">
      <w:r>
        <w:separator/>
      </w:r>
    </w:p>
    <w:p w:rsidR="001D5B36" w:rsidRDefault="001D5B36"/>
  </w:endnote>
  <w:endnote w:type="continuationSeparator" w:id="0">
    <w:p w:rsidR="001D5B36" w:rsidRDefault="001D5B36" w:rsidP="00F32432">
      <w:r>
        <w:continuationSeparator/>
      </w:r>
    </w:p>
    <w:p w:rsidR="001D5B36" w:rsidRDefault="001D5B3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7B813A26-7649-42B5-A958-0FC593656A07}"/>
    <w:embedBold r:id="rId2" w:fontKey="{06982009-7197-4D96-B439-E8172EB4EDB2}"/>
    <w:embedItalic r:id="rId3" w:fontKey="{3B9D67BF-553C-4FA1-B262-6E01F75315F4}"/>
    <w:embedBoldItalic r:id="rId4" w:fontKey="{7C6A118D-3639-434B-9BFB-A104981B9248}"/>
  </w:font>
  <w:font w:name="Symbol">
    <w:panose1 w:val="05050102010706020507"/>
    <w:charset w:val="02"/>
    <w:family w:val="roman"/>
    <w:pitch w:val="variable"/>
    <w:sig w:usb0="00000000" w:usb1="10000000" w:usb2="00000000" w:usb3="00000000" w:csb0="80000000" w:csb1="00000000"/>
    <w:embedRegular r:id="rId5" w:fontKey="{C43507A6-38F6-4DD0-A0D4-ECD74282B526}"/>
  </w:font>
  <w:font w:name="Courier New">
    <w:panose1 w:val="02070309020205020404"/>
    <w:charset w:val="00"/>
    <w:family w:val="modern"/>
    <w:pitch w:val="fixed"/>
    <w:sig w:usb0="E0002EFF" w:usb1="C0007843" w:usb2="00000009" w:usb3="00000000" w:csb0="000001FF" w:csb1="00000000"/>
    <w:embedRegular r:id="rId6" w:fontKey="{52DF2F22-AA13-44C0-9699-9FE8D7714929}"/>
  </w:font>
  <w:font w:name="Wingdings">
    <w:panose1 w:val="05000000000000000000"/>
    <w:charset w:val="02"/>
    <w:family w:val="auto"/>
    <w:pitch w:val="variable"/>
    <w:sig w:usb0="00000000" w:usb1="10000000" w:usb2="00000000" w:usb3="00000000" w:csb0="80000000" w:csb1="00000000"/>
    <w:embedRegular r:id="rId7" w:fontKey="{19DD90A8-14BE-4EE1-A993-E79EBCEEB92E}"/>
  </w:font>
  <w:font w:name="Calibri">
    <w:panose1 w:val="020F0502020204030204"/>
    <w:charset w:val="00"/>
    <w:family w:val="swiss"/>
    <w:pitch w:val="variable"/>
    <w:sig w:usb0="E0002AFF" w:usb1="C000247B" w:usb2="00000009" w:usb3="00000000" w:csb0="000001FF" w:csb1="00000000"/>
    <w:embedRegular r:id="rId8" w:fontKey="{44D6D77F-F3EB-4D0E-8E87-472E56F7218A}"/>
    <w:embedBold r:id="rId9" w:fontKey="{E30E5355-EC13-48F7-8DAB-2C4A328CAEFC}"/>
    <w:embedItalic r:id="rId10" w:fontKey="{F88D728E-A3EC-43B8-8972-4459E5213501}"/>
    <w:embedBoldItalic r:id="rId11" w:fontKey="{BB1FF7F2-D301-4672-8A24-AD4EB542D033}"/>
  </w:font>
  <w:font w:name="Calibri Light">
    <w:panose1 w:val="020F0302020204030204"/>
    <w:charset w:val="00"/>
    <w:family w:val="swiss"/>
    <w:pitch w:val="variable"/>
    <w:sig w:usb0="E0002AFF" w:usb1="C000247B" w:usb2="00000009" w:usb3="00000000" w:csb0="000001FF" w:csb1="00000000"/>
    <w:embedRegular r:id="rId12" w:fontKey="{553A8C6D-3B68-4C52-BBC9-8BDD9E30C197}"/>
    <w:embedItalic r:id="rId13" w:fontKey="{999DF450-7DE6-418C-8956-1945B7B5810C}"/>
  </w:font>
  <w:font w:name="Open Sans">
    <w:altName w:val="Arial"/>
    <w:charset w:val="00"/>
    <w:family w:val="swiss"/>
    <w:pitch w:val="variable"/>
    <w:sig w:usb0="00000001" w:usb1="4000205B" w:usb2="00000028" w:usb3="00000000" w:csb0="0000019F" w:csb1="00000000"/>
    <w:embedRegular r:id="rId14" w:fontKey="{EFF12AEF-775F-4BE1-8781-B718E7F8A8B0}"/>
    <w:embedBold r:id="rId15" w:fontKey="{B5E08E5C-F506-427C-8CB4-44470AC1A329}"/>
    <w:embedItalic r:id="rId16" w:fontKey="{0EF178CF-22B2-41B3-B0E4-694C204E6BF6}"/>
  </w:font>
  <w:font w:name="Open Sans Light">
    <w:altName w:val="Segoe UI"/>
    <w:charset w:val="00"/>
    <w:family w:val="swiss"/>
    <w:pitch w:val="variable"/>
    <w:sig w:usb0="E00002EF" w:usb1="4000205B" w:usb2="00000028" w:usb3="00000000" w:csb0="0000019F" w:csb1="00000000"/>
    <w:embedRegular r:id="rId17" w:fontKey="{76795031-8598-4273-B5DD-023960306058}"/>
    <w:embedBold r:id="rId18" w:fontKey="{CBC8D666-EB54-4E54-AF9A-013B6C624738}"/>
    <w:embedItalic r:id="rId19" w:fontKey="{F6D0F637-7AF0-47A6-8FA4-BF5C06D42381}"/>
  </w:font>
  <w:font w:name="Open Sans SemiBold">
    <w:charset w:val="00"/>
    <w:family w:val="swiss"/>
    <w:pitch w:val="variable"/>
    <w:sig w:usb0="E00002EF" w:usb1="4000205B" w:usb2="00000028" w:usb3="00000000" w:csb0="0000019F" w:csb1="00000000"/>
    <w:embedRegular r:id="rId20" w:fontKey="{BB84687E-C257-44FD-A312-9C126A7E2F5D}"/>
  </w:font>
  <w:font w:name="Segoe UI">
    <w:panose1 w:val="020B0502040204020203"/>
    <w:charset w:val="00"/>
    <w:family w:val="swiss"/>
    <w:pitch w:val="variable"/>
    <w:sig w:usb0="E4002EFF" w:usb1="C000E47F" w:usb2="00000009" w:usb3="00000000" w:csb0="000001FF" w:csb1="00000000"/>
    <w:embedRegular r:id="rId21" w:fontKey="{2A9E02D4-2E50-4997-9188-20C12E8A7ED7}"/>
  </w:font>
  <w:font w:name="___WRD_EMBED_SUB_42">
    <w:charset w:val="00"/>
    <w:family w:val="swiss"/>
    <w:pitch w:val="variable"/>
    <w:sig w:usb0="E00002EF" w:usb1="4000205B" w:usb2="00000028" w:usb3="00000000" w:csb0="0000019F" w:csb1="00000000"/>
    <w:embedBold r:id="rId22" w:fontKey="{9AF595B8-4D9B-490A-8F7E-F80A0F4035F3}"/>
  </w:font>
  <w:font w:name="Consolas">
    <w:panose1 w:val="020B0609020204030204"/>
    <w:charset w:val="00"/>
    <w:family w:val="modern"/>
    <w:pitch w:val="fixed"/>
    <w:sig w:usb0="E00006FF" w:usb1="0000FCFF" w:usb2="00000001" w:usb3="00000000" w:csb0="0000019F" w:csb1="00000000"/>
    <w:embedRegular r:id="rId23" w:fontKey="{7729125E-6B56-4115-9266-D8C22F8A36B1}"/>
  </w:font>
  <w:font w:name="Arial">
    <w:panose1 w:val="020B0604020202020204"/>
    <w:charset w:val="00"/>
    <w:family w:val="swiss"/>
    <w:pitch w:val="variable"/>
    <w:sig w:usb0="E0002EFF" w:usb1="C000785B" w:usb2="00000009" w:usb3="00000000" w:csb0="000001FF" w:csb1="00000000"/>
    <w:embedRegular r:id="rId24" w:fontKey="{BA8D2FE2-7CA0-4C6A-8CFB-C3C3857CC5B6}"/>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4251" w:rsidRDefault="00484251">
    <w:pPr>
      <w:pStyle w:val="Fuzeil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Default="00484251" w:rsidP="00BE301E">
    <w:pPr>
      <w:pStyle w:val="BUSeitenzahl"/>
    </w:pPr>
    <w:r>
      <w:t>BU praktisch 2(2):2</w:t>
    </w:r>
    <w:r>
      <w:tab/>
      <w:t>(2019)</w:t>
    </w:r>
    <w:bookmarkStart w:id="0" w:name="_GoBack"/>
    <w:bookmarkEnd w:id="0"/>
    <w:r w:rsidR="009332CE">
      <w:tab/>
    </w:r>
    <w:r w:rsidR="00BE301E">
      <w:t xml:space="preserve">Seite </w:t>
    </w:r>
    <w:r w:rsidR="00BE301E">
      <w:fldChar w:fldCharType="begin"/>
    </w:r>
    <w:r w:rsidR="00BE301E">
      <w:instrText xml:space="preserve"> PAGE  \* Arabic  \* MERGEFORMAT </w:instrText>
    </w:r>
    <w:r w:rsidR="00BE301E">
      <w:fldChar w:fldCharType="separate"/>
    </w:r>
    <w:r>
      <w:rPr>
        <w:noProof/>
      </w:rPr>
      <w:t>1</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Pr>
        <w:noProof/>
      </w:rPr>
      <w:t>5</w:t>
    </w:r>
    <w:r w:rsidR="00BE301E">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4251" w:rsidRDefault="00484251">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D5B36" w:rsidRDefault="001D5B36">
      <w:r>
        <w:separator/>
      </w:r>
    </w:p>
  </w:footnote>
  <w:footnote w:type="continuationSeparator" w:id="0">
    <w:p w:rsidR="001D5B36" w:rsidRDefault="001D5B36" w:rsidP="00F32432">
      <w:r>
        <w:continuationSeparator/>
      </w:r>
    </w:p>
    <w:p w:rsidR="001D5B36" w:rsidRDefault="001D5B36"/>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4251" w:rsidRDefault="00484251">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14:anchorId="130FCEF9" wp14:editId="6083E03A">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rsidR="00BE301E" w:rsidRDefault="001D5B36" w:rsidP="00432E4B">
    <w:pPr>
      <w:pStyle w:val="BUKopfzeile"/>
      <w:spacing w:after="240"/>
    </w:pPr>
    <w:r>
      <w:pict>
        <v:rect id="_x0000_i1025" style="width:453.5pt;height:.5pt" o:hralign="center" o:hrstd="t" o:hrnoshade="t" o:hr="t" fillcolor="#cdd766" stroked="f"/>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4251" w:rsidRDefault="00484251">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17E97D1F"/>
    <w:multiLevelType w:val="hybridMultilevel"/>
    <w:tmpl w:val="D9BCC20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2C30602A"/>
    <w:multiLevelType w:val="hybridMultilevel"/>
    <w:tmpl w:val="4776EBDC"/>
    <w:lvl w:ilvl="0" w:tplc="04070001">
      <w:start w:val="1"/>
      <w:numFmt w:val="bullet"/>
      <w:lvlText w:val=""/>
      <w:lvlJc w:val="left"/>
      <w:pPr>
        <w:tabs>
          <w:tab w:val="num" w:pos="360"/>
        </w:tabs>
        <w:ind w:left="360" w:hanging="360"/>
      </w:pPr>
      <w:rPr>
        <w:rFonts w:ascii="Symbol" w:hAnsi="Symbol" w:hint="default"/>
      </w:rPr>
    </w:lvl>
    <w:lvl w:ilvl="1" w:tplc="04070003">
      <w:start w:val="1"/>
      <w:numFmt w:val="bullet"/>
      <w:lvlText w:val="o"/>
      <w:lvlJc w:val="left"/>
      <w:pPr>
        <w:tabs>
          <w:tab w:val="num" w:pos="1080"/>
        </w:tabs>
        <w:ind w:left="1080" w:hanging="360"/>
      </w:pPr>
      <w:rPr>
        <w:rFonts w:ascii="Courier New" w:hAnsi="Courier New" w:cs="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3C95DA6"/>
    <w:multiLevelType w:val="hybridMultilevel"/>
    <w:tmpl w:val="2A266FCA"/>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080"/>
        </w:tabs>
        <w:ind w:left="1080" w:hanging="360"/>
      </w:pPr>
      <w:rPr>
        <w:rFonts w:ascii="Courier New" w:hAnsi="Courier New" w:cs="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6" w15:restartNumberingAfterBreak="0">
    <w:nsid w:val="36453194"/>
    <w:multiLevelType w:val="hybridMultilevel"/>
    <w:tmpl w:val="60424958"/>
    <w:lvl w:ilvl="0" w:tplc="04070019">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8" w15:restartNumberingAfterBreak="0">
    <w:nsid w:val="5F5E5852"/>
    <w:multiLevelType w:val="hybridMultilevel"/>
    <w:tmpl w:val="10D647AC"/>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080"/>
        </w:tabs>
        <w:ind w:left="1080" w:hanging="360"/>
      </w:pPr>
      <w:rPr>
        <w:rFonts w:ascii="Courier New" w:hAnsi="Courier New" w:cs="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69582427"/>
    <w:multiLevelType w:val="hybridMultilevel"/>
    <w:tmpl w:val="7610CF72"/>
    <w:lvl w:ilvl="0" w:tplc="04070001">
      <w:start w:val="1"/>
      <w:numFmt w:val="bullet"/>
      <w:lvlText w:val=""/>
      <w:lvlJc w:val="left"/>
      <w:pPr>
        <w:tabs>
          <w:tab w:val="num" w:pos="720"/>
        </w:tabs>
        <w:ind w:left="720" w:hanging="360"/>
      </w:pPr>
      <w:rPr>
        <w:rFonts w:ascii="Symbol" w:hAnsi="Symbol"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72091813"/>
    <w:multiLevelType w:val="hybridMultilevel"/>
    <w:tmpl w:val="9F24CB1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7C454491"/>
    <w:multiLevelType w:val="multilevel"/>
    <w:tmpl w:val="277E833C"/>
    <w:numStyleLink w:val="BUNummerierteListe"/>
  </w:abstractNum>
  <w:abstractNum w:abstractNumId="12" w15:restartNumberingAfterBreak="0">
    <w:nsid w:val="7FCF737D"/>
    <w:multiLevelType w:val="hybridMultilevel"/>
    <w:tmpl w:val="996AEAB6"/>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080"/>
        </w:tabs>
        <w:ind w:left="1080" w:hanging="360"/>
      </w:pPr>
      <w:rPr>
        <w:rFonts w:ascii="Courier New" w:hAnsi="Courier New" w:cs="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num w:numId="1">
    <w:abstractNumId w:val="0"/>
  </w:num>
  <w:num w:numId="2">
    <w:abstractNumId w:val="3"/>
  </w:num>
  <w:num w:numId="3">
    <w:abstractNumId w:val="7"/>
  </w:num>
  <w:num w:numId="4">
    <w:abstractNumId w:val="5"/>
  </w:num>
  <w:num w:numId="5">
    <w:abstractNumId w:val="11"/>
  </w:num>
  <w:num w:numId="6">
    <w:abstractNumId w:val="1"/>
  </w:num>
  <w:num w:numId="7">
    <w:abstractNumId w:val="12"/>
  </w:num>
  <w:num w:numId="8">
    <w:abstractNumId w:val="9"/>
  </w:num>
  <w:num w:numId="9">
    <w:abstractNumId w:val="8"/>
  </w:num>
  <w:num w:numId="10">
    <w:abstractNumId w:val="2"/>
  </w:num>
  <w:num w:numId="11">
    <w:abstractNumId w:val="4"/>
  </w:num>
  <w:num w:numId="12">
    <w:abstractNumId w:val="10"/>
  </w:num>
  <w:num w:numId="13">
    <w:abstractNumId w:val="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2432"/>
    <w:rsid w:val="00012B95"/>
    <w:rsid w:val="00022517"/>
    <w:rsid w:val="00023353"/>
    <w:rsid w:val="00027DF0"/>
    <w:rsid w:val="000303F8"/>
    <w:rsid w:val="00034074"/>
    <w:rsid w:val="000439C3"/>
    <w:rsid w:val="0004413D"/>
    <w:rsid w:val="000506B1"/>
    <w:rsid w:val="00052A5F"/>
    <w:rsid w:val="00061CB5"/>
    <w:rsid w:val="00077578"/>
    <w:rsid w:val="00081B53"/>
    <w:rsid w:val="000822EF"/>
    <w:rsid w:val="00097E03"/>
    <w:rsid w:val="000A0BB8"/>
    <w:rsid w:val="000B58D9"/>
    <w:rsid w:val="000C33AC"/>
    <w:rsid w:val="000D001C"/>
    <w:rsid w:val="000F0B08"/>
    <w:rsid w:val="000F342F"/>
    <w:rsid w:val="00101943"/>
    <w:rsid w:val="00123B0B"/>
    <w:rsid w:val="00131011"/>
    <w:rsid w:val="00133599"/>
    <w:rsid w:val="00137E9F"/>
    <w:rsid w:val="00140485"/>
    <w:rsid w:val="001412AD"/>
    <w:rsid w:val="00143AAE"/>
    <w:rsid w:val="00146115"/>
    <w:rsid w:val="00157CAD"/>
    <w:rsid w:val="001608C2"/>
    <w:rsid w:val="001633E1"/>
    <w:rsid w:val="001649B0"/>
    <w:rsid w:val="00170486"/>
    <w:rsid w:val="0017098B"/>
    <w:rsid w:val="00183557"/>
    <w:rsid w:val="00185EC5"/>
    <w:rsid w:val="00196767"/>
    <w:rsid w:val="001A4EF2"/>
    <w:rsid w:val="001B1BEC"/>
    <w:rsid w:val="001B3BB4"/>
    <w:rsid w:val="001B4EA3"/>
    <w:rsid w:val="001C125C"/>
    <w:rsid w:val="001C62F2"/>
    <w:rsid w:val="001D4570"/>
    <w:rsid w:val="001D4F76"/>
    <w:rsid w:val="001D5B36"/>
    <w:rsid w:val="001F1B15"/>
    <w:rsid w:val="001F341A"/>
    <w:rsid w:val="00202167"/>
    <w:rsid w:val="00223203"/>
    <w:rsid w:val="002335BF"/>
    <w:rsid w:val="00234F96"/>
    <w:rsid w:val="00246CBC"/>
    <w:rsid w:val="00247618"/>
    <w:rsid w:val="00255FE7"/>
    <w:rsid w:val="002679EE"/>
    <w:rsid w:val="002760C1"/>
    <w:rsid w:val="00276705"/>
    <w:rsid w:val="002776CB"/>
    <w:rsid w:val="00297CF2"/>
    <w:rsid w:val="002C15A9"/>
    <w:rsid w:val="002C3652"/>
    <w:rsid w:val="002C4C4E"/>
    <w:rsid w:val="002C60F4"/>
    <w:rsid w:val="002D44DB"/>
    <w:rsid w:val="002F049C"/>
    <w:rsid w:val="002F72E9"/>
    <w:rsid w:val="002F7D44"/>
    <w:rsid w:val="00303287"/>
    <w:rsid w:val="00303C43"/>
    <w:rsid w:val="00307C7B"/>
    <w:rsid w:val="003165BB"/>
    <w:rsid w:val="00320069"/>
    <w:rsid w:val="003316DD"/>
    <w:rsid w:val="00343717"/>
    <w:rsid w:val="00350439"/>
    <w:rsid w:val="00352F8E"/>
    <w:rsid w:val="00354768"/>
    <w:rsid w:val="00372ED3"/>
    <w:rsid w:val="00376727"/>
    <w:rsid w:val="00391CF6"/>
    <w:rsid w:val="00392F33"/>
    <w:rsid w:val="00396AD5"/>
    <w:rsid w:val="00397122"/>
    <w:rsid w:val="003A1F68"/>
    <w:rsid w:val="003A4C03"/>
    <w:rsid w:val="003A7470"/>
    <w:rsid w:val="003B34AE"/>
    <w:rsid w:val="003C7FAA"/>
    <w:rsid w:val="003D4C64"/>
    <w:rsid w:val="003F1A47"/>
    <w:rsid w:val="003F3DDB"/>
    <w:rsid w:val="004058DB"/>
    <w:rsid w:val="0040753C"/>
    <w:rsid w:val="00411A33"/>
    <w:rsid w:val="00413502"/>
    <w:rsid w:val="00420FA9"/>
    <w:rsid w:val="00432E4B"/>
    <w:rsid w:val="0043397F"/>
    <w:rsid w:val="00440434"/>
    <w:rsid w:val="00440D62"/>
    <w:rsid w:val="004527B1"/>
    <w:rsid w:val="004621FB"/>
    <w:rsid w:val="004635FF"/>
    <w:rsid w:val="00463F26"/>
    <w:rsid w:val="00474071"/>
    <w:rsid w:val="00484251"/>
    <w:rsid w:val="00490781"/>
    <w:rsid w:val="004907BD"/>
    <w:rsid w:val="00494F30"/>
    <w:rsid w:val="0049746D"/>
    <w:rsid w:val="004A01D4"/>
    <w:rsid w:val="004A1FD1"/>
    <w:rsid w:val="004A3DD7"/>
    <w:rsid w:val="004B2606"/>
    <w:rsid w:val="004C25D8"/>
    <w:rsid w:val="004C4C96"/>
    <w:rsid w:val="004D2C5F"/>
    <w:rsid w:val="004E2371"/>
    <w:rsid w:val="004E5F41"/>
    <w:rsid w:val="004F0A67"/>
    <w:rsid w:val="004F2CF6"/>
    <w:rsid w:val="004F5785"/>
    <w:rsid w:val="005053A5"/>
    <w:rsid w:val="00522BD8"/>
    <w:rsid w:val="00533A57"/>
    <w:rsid w:val="0054571E"/>
    <w:rsid w:val="0055158A"/>
    <w:rsid w:val="00555865"/>
    <w:rsid w:val="00567DF2"/>
    <w:rsid w:val="00570410"/>
    <w:rsid w:val="005A4DDF"/>
    <w:rsid w:val="005A5C98"/>
    <w:rsid w:val="005C1337"/>
    <w:rsid w:val="005E638D"/>
    <w:rsid w:val="005E66BB"/>
    <w:rsid w:val="005F3DCF"/>
    <w:rsid w:val="00621949"/>
    <w:rsid w:val="00633099"/>
    <w:rsid w:val="006333C5"/>
    <w:rsid w:val="006350C4"/>
    <w:rsid w:val="00642888"/>
    <w:rsid w:val="00643680"/>
    <w:rsid w:val="0065516A"/>
    <w:rsid w:val="006555A9"/>
    <w:rsid w:val="00662F7A"/>
    <w:rsid w:val="00666A46"/>
    <w:rsid w:val="0067293C"/>
    <w:rsid w:val="00672AD6"/>
    <w:rsid w:val="00683F32"/>
    <w:rsid w:val="00692866"/>
    <w:rsid w:val="006A7A1B"/>
    <w:rsid w:val="006B305C"/>
    <w:rsid w:val="006B7BA6"/>
    <w:rsid w:val="006C2DAA"/>
    <w:rsid w:val="006D0C77"/>
    <w:rsid w:val="006E16B2"/>
    <w:rsid w:val="006F1804"/>
    <w:rsid w:val="006F4229"/>
    <w:rsid w:val="00703399"/>
    <w:rsid w:val="00707C54"/>
    <w:rsid w:val="00711032"/>
    <w:rsid w:val="00715B6A"/>
    <w:rsid w:val="00720990"/>
    <w:rsid w:val="00722C47"/>
    <w:rsid w:val="00724036"/>
    <w:rsid w:val="00734401"/>
    <w:rsid w:val="0073456D"/>
    <w:rsid w:val="007376CA"/>
    <w:rsid w:val="00741869"/>
    <w:rsid w:val="00746208"/>
    <w:rsid w:val="00747745"/>
    <w:rsid w:val="00750603"/>
    <w:rsid w:val="00756069"/>
    <w:rsid w:val="007666A4"/>
    <w:rsid w:val="00775F2E"/>
    <w:rsid w:val="00776043"/>
    <w:rsid w:val="00777899"/>
    <w:rsid w:val="00777FB0"/>
    <w:rsid w:val="0078756F"/>
    <w:rsid w:val="007875EB"/>
    <w:rsid w:val="00790A1F"/>
    <w:rsid w:val="007A082F"/>
    <w:rsid w:val="007A4EE5"/>
    <w:rsid w:val="007A591C"/>
    <w:rsid w:val="007B24DD"/>
    <w:rsid w:val="007B4AE9"/>
    <w:rsid w:val="007C0D4A"/>
    <w:rsid w:val="007E5109"/>
    <w:rsid w:val="007F7585"/>
    <w:rsid w:val="008017BB"/>
    <w:rsid w:val="00810E76"/>
    <w:rsid w:val="008202D9"/>
    <w:rsid w:val="00826D21"/>
    <w:rsid w:val="00832750"/>
    <w:rsid w:val="00834BFA"/>
    <w:rsid w:val="00836A88"/>
    <w:rsid w:val="00840573"/>
    <w:rsid w:val="00844EBA"/>
    <w:rsid w:val="00845256"/>
    <w:rsid w:val="008474F3"/>
    <w:rsid w:val="00850EF8"/>
    <w:rsid w:val="00853EE4"/>
    <w:rsid w:val="00854D29"/>
    <w:rsid w:val="00861D0C"/>
    <w:rsid w:val="008744EA"/>
    <w:rsid w:val="00881F70"/>
    <w:rsid w:val="00882852"/>
    <w:rsid w:val="0088375C"/>
    <w:rsid w:val="00892E31"/>
    <w:rsid w:val="00893540"/>
    <w:rsid w:val="008A365F"/>
    <w:rsid w:val="008A5AD1"/>
    <w:rsid w:val="008B39AA"/>
    <w:rsid w:val="008B77CD"/>
    <w:rsid w:val="008C029B"/>
    <w:rsid w:val="008C0E34"/>
    <w:rsid w:val="008D0A1F"/>
    <w:rsid w:val="008E31D7"/>
    <w:rsid w:val="008E5040"/>
    <w:rsid w:val="008E5EED"/>
    <w:rsid w:val="008F2BB8"/>
    <w:rsid w:val="008F38F1"/>
    <w:rsid w:val="008F48E6"/>
    <w:rsid w:val="00902127"/>
    <w:rsid w:val="00907ADD"/>
    <w:rsid w:val="0091073E"/>
    <w:rsid w:val="009115A1"/>
    <w:rsid w:val="00913DBE"/>
    <w:rsid w:val="009162DC"/>
    <w:rsid w:val="009222F2"/>
    <w:rsid w:val="00923A83"/>
    <w:rsid w:val="00924F69"/>
    <w:rsid w:val="00930F86"/>
    <w:rsid w:val="009332CE"/>
    <w:rsid w:val="009370B8"/>
    <w:rsid w:val="00940190"/>
    <w:rsid w:val="00942F60"/>
    <w:rsid w:val="009464A0"/>
    <w:rsid w:val="009570C4"/>
    <w:rsid w:val="009577EF"/>
    <w:rsid w:val="009632F4"/>
    <w:rsid w:val="00970AC5"/>
    <w:rsid w:val="00980573"/>
    <w:rsid w:val="00981801"/>
    <w:rsid w:val="00990105"/>
    <w:rsid w:val="00991E43"/>
    <w:rsid w:val="0099659F"/>
    <w:rsid w:val="009A4330"/>
    <w:rsid w:val="009A621A"/>
    <w:rsid w:val="009B0712"/>
    <w:rsid w:val="009B36CF"/>
    <w:rsid w:val="009B4025"/>
    <w:rsid w:val="009B586B"/>
    <w:rsid w:val="009C11CD"/>
    <w:rsid w:val="009C27AF"/>
    <w:rsid w:val="009C4150"/>
    <w:rsid w:val="009C4F71"/>
    <w:rsid w:val="009C7E29"/>
    <w:rsid w:val="009F2341"/>
    <w:rsid w:val="00A021CC"/>
    <w:rsid w:val="00A2154F"/>
    <w:rsid w:val="00A26278"/>
    <w:rsid w:val="00A35441"/>
    <w:rsid w:val="00A375E3"/>
    <w:rsid w:val="00A50E6D"/>
    <w:rsid w:val="00A52FBE"/>
    <w:rsid w:val="00A651FC"/>
    <w:rsid w:val="00A710CE"/>
    <w:rsid w:val="00A9477B"/>
    <w:rsid w:val="00AA2189"/>
    <w:rsid w:val="00AA7F37"/>
    <w:rsid w:val="00AF090D"/>
    <w:rsid w:val="00AF7116"/>
    <w:rsid w:val="00B0639A"/>
    <w:rsid w:val="00B11E2B"/>
    <w:rsid w:val="00B129F1"/>
    <w:rsid w:val="00B25AEB"/>
    <w:rsid w:val="00B2694E"/>
    <w:rsid w:val="00B33A23"/>
    <w:rsid w:val="00B35D92"/>
    <w:rsid w:val="00B43528"/>
    <w:rsid w:val="00B457D0"/>
    <w:rsid w:val="00B52B2A"/>
    <w:rsid w:val="00B55243"/>
    <w:rsid w:val="00B65681"/>
    <w:rsid w:val="00B6758F"/>
    <w:rsid w:val="00B85472"/>
    <w:rsid w:val="00B85A8E"/>
    <w:rsid w:val="00B87ECB"/>
    <w:rsid w:val="00B96C0E"/>
    <w:rsid w:val="00B97BC8"/>
    <w:rsid w:val="00BA7789"/>
    <w:rsid w:val="00BB55E5"/>
    <w:rsid w:val="00BD0139"/>
    <w:rsid w:val="00BD1A1D"/>
    <w:rsid w:val="00BD36C1"/>
    <w:rsid w:val="00BD45CA"/>
    <w:rsid w:val="00BE301E"/>
    <w:rsid w:val="00BF05A1"/>
    <w:rsid w:val="00BF721C"/>
    <w:rsid w:val="00C0469E"/>
    <w:rsid w:val="00C06335"/>
    <w:rsid w:val="00C1070F"/>
    <w:rsid w:val="00C2365D"/>
    <w:rsid w:val="00C405D2"/>
    <w:rsid w:val="00C63297"/>
    <w:rsid w:val="00C942FA"/>
    <w:rsid w:val="00C96BCF"/>
    <w:rsid w:val="00C9736D"/>
    <w:rsid w:val="00CA5693"/>
    <w:rsid w:val="00CB1654"/>
    <w:rsid w:val="00CB4209"/>
    <w:rsid w:val="00CB58AE"/>
    <w:rsid w:val="00CC7C69"/>
    <w:rsid w:val="00CD349A"/>
    <w:rsid w:val="00CE4290"/>
    <w:rsid w:val="00CE783B"/>
    <w:rsid w:val="00CF1DD4"/>
    <w:rsid w:val="00CF49C1"/>
    <w:rsid w:val="00D246DF"/>
    <w:rsid w:val="00D2475D"/>
    <w:rsid w:val="00D278ED"/>
    <w:rsid w:val="00D31CA4"/>
    <w:rsid w:val="00D328E9"/>
    <w:rsid w:val="00D33D5B"/>
    <w:rsid w:val="00D5436F"/>
    <w:rsid w:val="00D55076"/>
    <w:rsid w:val="00D825AF"/>
    <w:rsid w:val="00D90286"/>
    <w:rsid w:val="00D90B69"/>
    <w:rsid w:val="00D93D8C"/>
    <w:rsid w:val="00DA43E8"/>
    <w:rsid w:val="00DA5A2B"/>
    <w:rsid w:val="00DA6C2A"/>
    <w:rsid w:val="00DB3E27"/>
    <w:rsid w:val="00DC0104"/>
    <w:rsid w:val="00DC4F34"/>
    <w:rsid w:val="00DC5E75"/>
    <w:rsid w:val="00DE2B23"/>
    <w:rsid w:val="00DE6775"/>
    <w:rsid w:val="00DF77AF"/>
    <w:rsid w:val="00E12420"/>
    <w:rsid w:val="00E15E7B"/>
    <w:rsid w:val="00E222F3"/>
    <w:rsid w:val="00E24C1E"/>
    <w:rsid w:val="00E4798D"/>
    <w:rsid w:val="00E57699"/>
    <w:rsid w:val="00E644B3"/>
    <w:rsid w:val="00E729BE"/>
    <w:rsid w:val="00E734BB"/>
    <w:rsid w:val="00E73986"/>
    <w:rsid w:val="00E83A6A"/>
    <w:rsid w:val="00E93C0D"/>
    <w:rsid w:val="00E93F6D"/>
    <w:rsid w:val="00E942C3"/>
    <w:rsid w:val="00E96C38"/>
    <w:rsid w:val="00EA0BF6"/>
    <w:rsid w:val="00EA25C5"/>
    <w:rsid w:val="00EA3289"/>
    <w:rsid w:val="00EA7A81"/>
    <w:rsid w:val="00EB0432"/>
    <w:rsid w:val="00EB6DA9"/>
    <w:rsid w:val="00ED30D5"/>
    <w:rsid w:val="00ED43E4"/>
    <w:rsid w:val="00ED74FE"/>
    <w:rsid w:val="00EF1E0E"/>
    <w:rsid w:val="00EF3417"/>
    <w:rsid w:val="00EF43CC"/>
    <w:rsid w:val="00EF6BB8"/>
    <w:rsid w:val="00F16521"/>
    <w:rsid w:val="00F31860"/>
    <w:rsid w:val="00F32432"/>
    <w:rsid w:val="00F41535"/>
    <w:rsid w:val="00F47CD2"/>
    <w:rsid w:val="00F619EC"/>
    <w:rsid w:val="00F81AEF"/>
    <w:rsid w:val="00F82E8F"/>
    <w:rsid w:val="00F869E9"/>
    <w:rsid w:val="00F92913"/>
    <w:rsid w:val="00F970D3"/>
    <w:rsid w:val="00FA0276"/>
    <w:rsid w:val="00FA0356"/>
    <w:rsid w:val="00FB15A0"/>
    <w:rsid w:val="00FB2C29"/>
    <w:rsid w:val="00FB4940"/>
    <w:rsid w:val="00FC030F"/>
    <w:rsid w:val="00FC0C3E"/>
    <w:rsid w:val="00FC11A6"/>
    <w:rsid w:val="00FD594D"/>
    <w:rsid w:val="00FE707B"/>
    <w:rsid w:val="00FE7F8B"/>
    <w:rsid w:val="00FF2083"/>
    <w:rsid w:val="00FF7F6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46480B5-850B-403E-9384-46E201F386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customStyle="1" w:styleId="Gitternetztabelle1hell1">
    <w:name w:val="Gitternetztabelle 1 hell1"/>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itternetztabelle1hellAkzent31">
    <w:name w:val="Gitternetztabelle 1 hell  – Akzent 31"/>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itternetztabelle1hellAkzent51">
    <w:name w:val="Gitternetztabelle 1 hell  – Akzent 51"/>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itternetztabelle1hellAkzent11">
    <w:name w:val="Gitternetztabelle 1 hell  – Akzent 1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itternetztabelle1hellAkzent61">
    <w:name w:val="Gitternetztabelle 1 hell  – Akzent 61"/>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itternetztabelle1hell-Akzent21">
    <w:name w:val="Gitternetztabelle 1 hell - Akzent 21"/>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ellemithellemGitternetz1">
    <w:name w:val="Tabelle mit hellem Gitternetz1"/>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EinfacheTabelle11">
    <w:name w:val="Einfache Tabelle 1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EinfacheTabelle21">
    <w:name w:val="Einfache Tabelle 21"/>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EinfacheTabelle31">
    <w:name w:val="Einfache Tabelle 31"/>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___WRD_EMBED_SUB_42" w:hAnsi="___WRD_EMBED_SUB_42"/>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character" w:customStyle="1" w:styleId="NurTextZchn">
    <w:name w:val="Nur Text Zchn"/>
    <w:link w:val="NurText"/>
    <w:rsid w:val="00FF7F6A"/>
    <w:rPr>
      <w:rFonts w:ascii="Calibri" w:eastAsia="Calibri" w:hAnsi="Calibri"/>
      <w:sz w:val="22"/>
    </w:rPr>
  </w:style>
  <w:style w:type="paragraph" w:styleId="NurText">
    <w:name w:val="Plain Text"/>
    <w:basedOn w:val="Standard"/>
    <w:link w:val="NurTextZchn"/>
    <w:rsid w:val="00FF7F6A"/>
    <w:pPr>
      <w:spacing w:after="0" w:line="240" w:lineRule="auto"/>
    </w:pPr>
    <w:rPr>
      <w:rFonts w:ascii="Calibri" w:eastAsia="Calibri" w:hAnsi="Calibri"/>
      <w:sz w:val="22"/>
    </w:rPr>
  </w:style>
  <w:style w:type="character" w:customStyle="1" w:styleId="NurTextZchn1">
    <w:name w:val="Nur Text Zchn1"/>
    <w:basedOn w:val="Absatz-Standardschriftart"/>
    <w:uiPriority w:val="99"/>
    <w:semiHidden/>
    <w:rsid w:val="00FF7F6A"/>
    <w:rPr>
      <w:rFonts w:ascii="Consolas" w:hAnsi="Consolas"/>
    </w:rPr>
  </w:style>
  <w:style w:type="table" w:styleId="HelleListe-Akzent6">
    <w:name w:val="Light List Accent 6"/>
    <w:basedOn w:val="NormaleTabelle"/>
    <w:uiPriority w:val="61"/>
    <w:rsid w:val="00157CAD"/>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MittleresRaster1-Akzent6">
    <w:name w:val="Medium Grid 1 Accent 6"/>
    <w:basedOn w:val="NormaleTabelle"/>
    <w:uiPriority w:val="67"/>
    <w:rsid w:val="00775F2E"/>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paragraph" w:styleId="Listenabsatz">
    <w:name w:val="List Paragraph"/>
    <w:basedOn w:val="Standard"/>
    <w:uiPriority w:val="34"/>
    <w:rsid w:val="00E96C38"/>
    <w:pPr>
      <w:ind w:left="720"/>
      <w:contextualSpacing/>
    </w:pPr>
  </w:style>
  <w:style w:type="table" w:styleId="MittlereSchattierung2-Akzent3">
    <w:name w:val="Medium Shading 2 Accent 3"/>
    <w:basedOn w:val="NormaleTabelle"/>
    <w:uiPriority w:val="64"/>
    <w:rsid w:val="00B129F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BesuchterLink">
    <w:name w:val="FollowedHyperlink"/>
    <w:basedOn w:val="Absatz-Standardschriftart"/>
    <w:uiPriority w:val="99"/>
    <w:semiHidden/>
    <w:unhideWhenUsed/>
    <w:rsid w:val="00FC030F"/>
    <w:rPr>
      <w:color w:val="954F72" w:themeColor="followedHyperlink"/>
      <w:u w:val="single"/>
    </w:rPr>
  </w:style>
  <w:style w:type="character" w:customStyle="1" w:styleId="mw-mmv-author">
    <w:name w:val="mw-mmv-author"/>
    <w:basedOn w:val="Absatz-Standardschriftart"/>
    <w:rsid w:val="000B58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1050811">
      <w:bodyDiv w:val="1"/>
      <w:marLeft w:val="0"/>
      <w:marRight w:val="0"/>
      <w:marTop w:val="0"/>
      <w:marBottom w:val="0"/>
      <w:divBdr>
        <w:top w:val="none" w:sz="0" w:space="0" w:color="auto"/>
        <w:left w:val="none" w:sz="0" w:space="0" w:color="auto"/>
        <w:bottom w:val="none" w:sz="0" w:space="0" w:color="auto"/>
        <w:right w:val="none" w:sz="0" w:space="0" w:color="auto"/>
      </w:divBdr>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9282495">
      <w:bodyDiv w:val="1"/>
      <w:marLeft w:val="0"/>
      <w:marRight w:val="0"/>
      <w:marTop w:val="0"/>
      <w:marBottom w:val="0"/>
      <w:divBdr>
        <w:top w:val="none" w:sz="0" w:space="0" w:color="auto"/>
        <w:left w:val="none" w:sz="0" w:space="0" w:color="auto"/>
        <w:bottom w:val="none" w:sz="0" w:space="0" w:color="auto"/>
        <w:right w:val="none" w:sz="0" w:space="0" w:color="auto"/>
      </w:divBdr>
    </w:div>
    <w:div w:id="1546719657">
      <w:bodyDiv w:val="1"/>
      <w:marLeft w:val="0"/>
      <w:marRight w:val="0"/>
      <w:marTop w:val="0"/>
      <w:marBottom w:val="0"/>
      <w:divBdr>
        <w:top w:val="none" w:sz="0" w:space="0" w:color="auto"/>
        <w:left w:val="none" w:sz="0" w:space="0" w:color="auto"/>
        <w:bottom w:val="none" w:sz="0" w:space="0" w:color="auto"/>
        <w:right w:val="none" w:sz="0" w:space="0" w:color="auto"/>
      </w:divBdr>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4866268">
      <w:bodyDiv w:val="1"/>
      <w:marLeft w:val="0"/>
      <w:marRight w:val="0"/>
      <w:marTop w:val="0"/>
      <w:marBottom w:val="0"/>
      <w:divBdr>
        <w:top w:val="none" w:sz="0" w:space="0" w:color="auto"/>
        <w:left w:val="none" w:sz="0" w:space="0" w:color="auto"/>
        <w:bottom w:val="none" w:sz="0" w:space="0" w:color="auto"/>
        <w:right w:val="none" w:sz="0" w:space="0" w:color="auto"/>
      </w:divBdr>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 w:id="1982464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heil@bio2.rwth-aachen.de" TargetMode="External"/><Relationship Id="rId13" Type="http://schemas.openxmlformats.org/officeDocument/2006/relationships/hyperlink" Target="https://onlinelibrary.wiley.com/doi/epdf/10.1002/biuz.19950250203" TargetMode="External"/><Relationship Id="rId18" Type="http://schemas.openxmlformats.org/officeDocument/2006/relationships/hyperlink" Target="https://en.wikipedia.org/wiki/List_of_English_words_of_Persian_origin" TargetMode="External"/><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s://www.spektrum.de/lexikon/biologie/" TargetMode="External"/><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hyperlink" Target="http://www.lehr-lern-modell.de/materialien" TargetMode="External"/><Relationship Id="rId20" Type="http://schemas.openxmlformats.org/officeDocument/2006/relationships/hyperlink" Target="https://onlinelibrary.wiley.com/doi/epdf/10.1002/biuz.200610403"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eol.org/pages/45515820/names" TargetMode="External"/><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hyperlink" Target="https://www.researchgate.net/publication/261062216_Do_animal_eyespots_really_mimic_eyes"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eol.org/" TargetMode="External"/><Relationship Id="rId22" Type="http://schemas.openxmlformats.org/officeDocument/2006/relationships/header" Target="header2.xm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0D02F6-164F-4161-A0F5-60804E551D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1151</Words>
  <Characters>7255</Characters>
  <Application>Microsoft Office Word</Application>
  <DocSecurity>0</DocSecurity>
  <Lines>60</Lines>
  <Paragraphs>16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Oleg</dc:creator>
  <cp:lastModifiedBy>Jana Nolding</cp:lastModifiedBy>
  <cp:revision>2</cp:revision>
  <cp:lastPrinted>2019-03-29T10:25:00Z</cp:lastPrinted>
  <dcterms:created xsi:type="dcterms:W3CDTF">2019-05-01T07:26:00Z</dcterms:created>
  <dcterms:modified xsi:type="dcterms:W3CDTF">2019-05-01T07:26:00Z</dcterms:modified>
</cp:coreProperties>
</file>